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EE" w:rsidRPr="005B16E5" w:rsidRDefault="00556DEE" w:rsidP="00556DEE">
      <w:pPr>
        <w:spacing w:after="0" w:line="240" w:lineRule="auto"/>
        <w:ind w:left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56DEE" w:rsidRPr="00472A3E" w:rsidRDefault="00556DEE" w:rsidP="00472A3E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A3E">
        <w:rPr>
          <w:rFonts w:ascii="Times New Roman" w:hAnsi="Times New Roman" w:cs="Times New Roman"/>
          <w:b/>
          <w:sz w:val="28"/>
          <w:szCs w:val="28"/>
        </w:rPr>
        <w:t>ИСПОЛЬЗОВАНИЕ РАЗВИВАЮЩИХ МЕТОДОВ И ПРИЁМОВ В ПРОЦЕССЕ ОЗНАКОМЛЕНИЯ ДОШКОЛЬНИКОВ С МЕДИЦИНСКИМИ ПРОФЕССИЯМИ</w:t>
      </w:r>
    </w:p>
    <w:p w:rsidR="004F5A40" w:rsidRPr="00472A3E" w:rsidRDefault="004F5A40" w:rsidP="00472A3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DEE" w:rsidRPr="00472A3E" w:rsidRDefault="00556DEE" w:rsidP="00472A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работы по ознакомлению детей с профессиями и трудом взрослых обоснована ФГОС к структуре ООП ДО, которая определяет содержание психолого-педагогической работы по освоению образовательных областей. В соответствии с ФГОС ДО, содержание образовательной области «Социально-коммуникативное развитие» направлено на достижение цели формирования положительного отношения к труду через решение следующих задач:</w:t>
      </w:r>
    </w:p>
    <w:p w:rsidR="00556DEE" w:rsidRPr="00472A3E" w:rsidRDefault="00556DEE" w:rsidP="00472A3E">
      <w:pPr>
        <w:numPr>
          <w:ilvl w:val="0"/>
          <w:numId w:val="1"/>
        </w:numPr>
        <w:shd w:val="clear" w:color="auto" w:fill="FFFFFF"/>
        <w:spacing w:before="35" w:after="35" w:line="360" w:lineRule="auto"/>
        <w:ind w:left="0" w:right="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трудовой деятельности;</w:t>
      </w:r>
    </w:p>
    <w:p w:rsidR="00556DEE" w:rsidRPr="00472A3E" w:rsidRDefault="00556DEE" w:rsidP="00472A3E">
      <w:pPr>
        <w:numPr>
          <w:ilvl w:val="0"/>
          <w:numId w:val="1"/>
        </w:numPr>
        <w:shd w:val="clear" w:color="auto" w:fill="FFFFFF"/>
        <w:spacing w:before="35" w:after="35" w:line="360" w:lineRule="auto"/>
        <w:ind w:left="0" w:right="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собственному труду, труду других людей и его результатам;</w:t>
      </w:r>
    </w:p>
    <w:p w:rsidR="00556DEE" w:rsidRPr="00472A3E" w:rsidRDefault="00556DEE" w:rsidP="00472A3E">
      <w:pPr>
        <w:numPr>
          <w:ilvl w:val="0"/>
          <w:numId w:val="1"/>
        </w:numPr>
        <w:shd w:val="clear" w:color="auto" w:fill="FFFFFF"/>
        <w:spacing w:before="35" w:after="35" w:line="360" w:lineRule="auto"/>
        <w:ind w:left="0" w:right="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труде взрослых, его роли в обществе и жизни каждого человека».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При формировании обобщенных понятий и представлений о значимости труда взрослых необходимо наличие у детей, прежде всего, четкого понимания того, что </w:t>
      </w:r>
      <w:r w:rsidR="00150347"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каждого</w:t>
      </w: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конкретного процесса должен быть результат, имеющий точное назначение – удовлетворять ту или иную потребность.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Для формирования у ребенка первоначальных представлений о роли труда и значимости профессий в жизни общества ознакомление с трудовой деятельностью взрослых имеет </w:t>
      </w:r>
      <w:r w:rsidR="00150347"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решающее и</w:t>
      </w: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первостепенное значение. Чтобы процесс развития и формирования багажа знаний о труде взрослых шёл целенаправленно, необходимо продуманное руководство процессом данной работы.        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дошкольного возраста педагоги ставят перед собой определённые цели в подготовке детей к тому, чтобы они в свое время (каким бы далеким </w:t>
      </w: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оно не казалось) могли смело вступить в самостоятельную жизнь. Вопросы ранней профориентации необходимы, чтобы подвести ребёнка к выбору той или иной профессии в будущем, или развить склонность к какому-либо направлению в трудовой деятельности при вступлении во взрослую жизнь. 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детском саду происходит ознакомление детей с различными видами профессий. Медицинские профессии относятся к классу «человек – человек». Уже в младшем дошкольном возрасте дети знакомятся с профессией «медсестра (врач)», со средней группы и далее происходит расширение и обобщение знаний о медицинских профессиях, детям можно объяснить, чем занимаются хирург, педиатр, санитарка, лаборант. Использование различных форм работы позволяет правильно строить образовательный процесс. Это: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игровая деятельность (сюжетно-ролевые игры «Больница», «Поликлиника», «Кукла заболела», «На приёме у врача» и др., дидактические игры «Кому что нужно», «Кукла Катя заболела», «Папа вызывает врача», «Скорая помощь», «Врач и медсестра» и др., режиссерская игра «Собери медицинский чемоданчик» и т.д.);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проектная деятельность;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встречи с работниками медицинских профессий (медсестрой детского сада, родителями, работающими врачами или другими медработниками);</w:t>
      </w:r>
    </w:p>
    <w:p w:rsidR="00556DEE" w:rsidRPr="00472A3E" w:rsidRDefault="00556DEE" w:rsidP="00472A3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472A3E">
        <w:rPr>
          <w:color w:val="000000"/>
          <w:sz w:val="28"/>
          <w:szCs w:val="28"/>
        </w:rPr>
        <w:t xml:space="preserve">- чтение художественной литературы (Н.Доброта «Скорая помощь», К.Чуковский «Айболит», </w:t>
      </w:r>
      <w:hyperlink r:id="rId5" w:tgtFrame="_blank" w:history="1">
        <w:r w:rsidRPr="00472A3E">
          <w:rPr>
            <w:bCs/>
            <w:sz w:val="28"/>
            <w:szCs w:val="28"/>
          </w:rPr>
          <w:t>Н.Гордиенко, С.Гордиенко «Большая книга профессий»</w:t>
        </w:r>
      </w:hyperlink>
      <w:r w:rsidRPr="00472A3E">
        <w:rPr>
          <w:sz w:val="28"/>
          <w:szCs w:val="28"/>
        </w:rPr>
        <w:t xml:space="preserve">, </w:t>
      </w:r>
      <w:hyperlink r:id="rId6" w:tgtFrame="_blank" w:history="1">
        <w:proofErr w:type="spellStart"/>
        <w:r w:rsidRPr="00472A3E">
          <w:rPr>
            <w:rStyle w:val="a4"/>
            <w:sz w:val="28"/>
            <w:szCs w:val="28"/>
            <w:shd w:val="clear" w:color="auto" w:fill="FFFFFF"/>
          </w:rPr>
          <w:t>Амели</w:t>
        </w:r>
        <w:proofErr w:type="spellEnd"/>
        <w:r w:rsidRPr="00472A3E">
          <w:rPr>
            <w:rStyle w:val="a4"/>
            <w:sz w:val="28"/>
            <w:szCs w:val="28"/>
            <w:shd w:val="clear" w:color="auto" w:fill="FFFFFF"/>
          </w:rPr>
          <w:t xml:space="preserve"> Бомон «Кем быть?»</w:t>
        </w:r>
      </w:hyperlink>
      <w:r w:rsidRPr="00472A3E">
        <w:rPr>
          <w:b/>
          <w:sz w:val="28"/>
          <w:szCs w:val="28"/>
        </w:rPr>
        <w:t xml:space="preserve">, </w:t>
      </w:r>
      <w:hyperlink r:id="rId7" w:tgtFrame="_blank" w:history="1">
        <w:proofErr w:type="spellStart"/>
        <w:r w:rsidRPr="00472A3E">
          <w:rPr>
            <w:rStyle w:val="a4"/>
            <w:sz w:val="28"/>
            <w:szCs w:val="28"/>
            <w:shd w:val="clear" w:color="auto" w:fill="FFFFFF"/>
          </w:rPr>
          <w:t>Сильви</w:t>
        </w:r>
        <w:proofErr w:type="spellEnd"/>
        <w:r w:rsidRPr="00472A3E">
          <w:rPr>
            <w:rStyle w:val="a4"/>
            <w:sz w:val="28"/>
            <w:szCs w:val="28"/>
            <w:shd w:val="clear" w:color="auto" w:fill="FFFFFF"/>
          </w:rPr>
          <w:t xml:space="preserve"> </w:t>
        </w:r>
        <w:proofErr w:type="spellStart"/>
        <w:r w:rsidRPr="00472A3E">
          <w:rPr>
            <w:rStyle w:val="a4"/>
            <w:sz w:val="28"/>
            <w:szCs w:val="28"/>
            <w:shd w:val="clear" w:color="auto" w:fill="FFFFFF"/>
          </w:rPr>
          <w:t>Санжа</w:t>
        </w:r>
        <w:proofErr w:type="spellEnd"/>
        <w:r w:rsidRPr="00472A3E">
          <w:rPr>
            <w:rStyle w:val="a4"/>
            <w:sz w:val="28"/>
            <w:szCs w:val="28"/>
            <w:shd w:val="clear" w:color="auto" w:fill="FFFFFF"/>
          </w:rPr>
          <w:t xml:space="preserve"> «Профессии. Когда я вырасту, то стану…»</w:t>
        </w:r>
      </w:hyperlink>
      <w:r w:rsidRPr="00472A3E">
        <w:rPr>
          <w:sz w:val="28"/>
          <w:szCs w:val="28"/>
        </w:rPr>
        <w:t xml:space="preserve">, </w:t>
      </w:r>
      <w:r w:rsidRPr="00472A3E">
        <w:rPr>
          <w:color w:val="000000"/>
          <w:sz w:val="28"/>
          <w:szCs w:val="28"/>
          <w:shd w:val="clear" w:color="auto" w:fill="FFFFFF"/>
        </w:rPr>
        <w:t xml:space="preserve">В. Берестов «Больная кукла», Е.Благинина «Больной зайка», </w:t>
      </w:r>
      <w:r w:rsidRPr="00472A3E">
        <w:rPr>
          <w:color w:val="111111"/>
          <w:sz w:val="28"/>
          <w:szCs w:val="28"/>
          <w:shd w:val="clear" w:color="auto" w:fill="FFFFFF"/>
        </w:rPr>
        <w:t xml:space="preserve">В. </w:t>
      </w:r>
      <w:proofErr w:type="spellStart"/>
      <w:r w:rsidRPr="00472A3E">
        <w:rPr>
          <w:color w:val="111111"/>
          <w:sz w:val="28"/>
          <w:szCs w:val="28"/>
          <w:shd w:val="clear" w:color="auto" w:fill="FFFFFF"/>
        </w:rPr>
        <w:t>Сутеев</w:t>
      </w:r>
      <w:proofErr w:type="spellEnd"/>
      <w:r w:rsidRPr="00472A3E">
        <w:rPr>
          <w:color w:val="111111"/>
          <w:sz w:val="28"/>
          <w:szCs w:val="28"/>
          <w:shd w:val="clear" w:color="auto" w:fill="FFFFFF"/>
        </w:rPr>
        <w:t> </w:t>
      </w:r>
      <w:r w:rsidRPr="00472A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«Про бегемота, который боялся прививок»</w:t>
      </w:r>
      <w:r w:rsidRPr="00472A3E">
        <w:rPr>
          <w:color w:val="111111"/>
          <w:sz w:val="28"/>
          <w:szCs w:val="28"/>
          <w:shd w:val="clear" w:color="auto" w:fill="FFFFFF"/>
        </w:rPr>
        <w:t>, С. Михалков </w:t>
      </w:r>
      <w:r w:rsidRPr="00472A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«Прививка»</w:t>
      </w:r>
      <w:r w:rsidRPr="00472A3E">
        <w:rPr>
          <w:color w:val="111111"/>
          <w:sz w:val="28"/>
          <w:szCs w:val="28"/>
          <w:shd w:val="clear" w:color="auto" w:fill="FFFFFF"/>
        </w:rPr>
        <w:t>, </w:t>
      </w:r>
      <w:r w:rsidRPr="00472A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«А что у вас?»)</w:t>
      </w:r>
      <w:r w:rsidRPr="00472A3E">
        <w:rPr>
          <w:b/>
          <w:sz w:val="28"/>
          <w:szCs w:val="28"/>
        </w:rPr>
        <w:t>;</w:t>
      </w:r>
    </w:p>
    <w:p w:rsidR="00556DEE" w:rsidRPr="00472A3E" w:rsidRDefault="00556DEE" w:rsidP="00472A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2A3E">
        <w:rPr>
          <w:sz w:val="28"/>
          <w:szCs w:val="28"/>
        </w:rPr>
        <w:tab/>
        <w:t>- наблюдения (за работой медсестры/врача детского сада);</w:t>
      </w:r>
    </w:p>
    <w:p w:rsidR="00556DEE" w:rsidRPr="00472A3E" w:rsidRDefault="00556DEE" w:rsidP="00472A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2A3E">
        <w:rPr>
          <w:sz w:val="28"/>
          <w:szCs w:val="28"/>
        </w:rPr>
        <w:tab/>
        <w:t xml:space="preserve">- целевые прогулки и экскурсии (посещение медкабинета детского сада, близлежащего </w:t>
      </w:r>
      <w:proofErr w:type="spellStart"/>
      <w:r w:rsidRPr="00472A3E">
        <w:rPr>
          <w:sz w:val="28"/>
          <w:szCs w:val="28"/>
        </w:rPr>
        <w:t>ФАПа</w:t>
      </w:r>
      <w:proofErr w:type="spellEnd"/>
      <w:r w:rsidRPr="00472A3E">
        <w:rPr>
          <w:sz w:val="28"/>
          <w:szCs w:val="28"/>
        </w:rPr>
        <w:t>);</w:t>
      </w:r>
    </w:p>
    <w:p w:rsidR="00556DEE" w:rsidRPr="00472A3E" w:rsidRDefault="00556DEE" w:rsidP="00472A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2A3E">
        <w:rPr>
          <w:sz w:val="28"/>
          <w:szCs w:val="28"/>
        </w:rPr>
        <w:tab/>
        <w:t>- культурно-досуговая деятельность (различные развлечения,);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организованная непосредственно образовательная деятельность (</w:t>
      </w:r>
      <w:proofErr w:type="spellStart"/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НОДы</w:t>
      </w:r>
      <w:proofErr w:type="spellEnd"/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трудовая деятельность взрослого и ребенка, организация практических трудовых действий;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самостоятельная деятельность ребенка;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моделирование;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продуктивная деятельность (лепка: </w:t>
      </w:r>
      <w:r w:rsidRPr="00472A3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472A3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Витамишки</w:t>
      </w:r>
      <w:proofErr w:type="spellEnd"/>
      <w:r w:rsidRPr="00472A3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472A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472A3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«Бинт для Зайки»</w:t>
      </w:r>
      <w:r w:rsidRPr="00472A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472A3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«Витаминные заготовки на зиму»</w:t>
      </w:r>
      <w:r w:rsidRPr="00472A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472A3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«Незнайка на лыжах»; </w:t>
      </w:r>
      <w:r w:rsidRPr="00472A3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рисование</w:t>
      </w:r>
      <w:r w:rsidRPr="00472A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472A3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«Доктор Айболит»</w:t>
      </w:r>
      <w:r w:rsidRPr="00472A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472A3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«Наш медицинский работник»</w:t>
      </w:r>
      <w:r w:rsidRPr="00472A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472A3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«Градусник»; </w:t>
      </w:r>
      <w:r w:rsidRPr="00472A3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конструирование</w:t>
      </w:r>
      <w:r w:rsidRPr="00472A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472A3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«Постройка больницы»</w:t>
      </w:r>
      <w:r w:rsidRPr="00472A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472A3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«Постройка аптеки»</w:t>
      </w:r>
      <w:r w:rsidRPr="00472A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);</w:t>
      </w:r>
    </w:p>
    <w:p w:rsidR="00556DEE" w:rsidRPr="00472A3E" w:rsidRDefault="00556DEE" w:rsidP="00472A3E">
      <w:pPr>
        <w:pStyle w:val="c6"/>
        <w:shd w:val="clear" w:color="auto" w:fill="FFFFFF"/>
        <w:spacing w:before="0" w:beforeAutospacing="0" w:after="0" w:afterAutospacing="0" w:line="360" w:lineRule="auto"/>
        <w:ind w:left="130" w:firstLine="578"/>
        <w:jc w:val="both"/>
        <w:rPr>
          <w:color w:val="000000"/>
          <w:sz w:val="28"/>
          <w:szCs w:val="28"/>
        </w:rPr>
      </w:pPr>
      <w:r w:rsidRPr="00472A3E">
        <w:rPr>
          <w:color w:val="000000"/>
          <w:sz w:val="28"/>
          <w:szCs w:val="28"/>
        </w:rPr>
        <w:t xml:space="preserve">- коммуникативная деятельность (общение, беседы («Кто лечит больных», «Что делает мама, когда я заболел», </w:t>
      </w:r>
      <w:r w:rsidRPr="00472A3E">
        <w:rPr>
          <w:color w:val="000000"/>
          <w:sz w:val="28"/>
          <w:szCs w:val="28"/>
          <w:shd w:val="clear" w:color="auto" w:fill="FFFFFF"/>
        </w:rPr>
        <w:t xml:space="preserve">«Профессия врача», «Как устроено тело человека», «Как работает сердце человека», </w:t>
      </w:r>
      <w:r w:rsidRPr="00472A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«Кто работает в аптеке?»</w:t>
      </w:r>
      <w:r w:rsidRPr="00472A3E">
        <w:rPr>
          <w:color w:val="111111"/>
          <w:sz w:val="28"/>
          <w:szCs w:val="28"/>
          <w:shd w:val="clear" w:color="auto" w:fill="FFFFFF"/>
        </w:rPr>
        <w:t>, </w:t>
      </w:r>
      <w:r w:rsidRPr="00472A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«Йод и Йог»</w:t>
      </w:r>
      <w:r w:rsidRPr="00472A3E">
        <w:rPr>
          <w:color w:val="111111"/>
          <w:sz w:val="28"/>
          <w:szCs w:val="28"/>
          <w:shd w:val="clear" w:color="auto" w:fill="FFFFFF"/>
        </w:rPr>
        <w:t>, </w:t>
      </w:r>
      <w:r w:rsidRPr="00472A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«Кто лечит больных?»</w:t>
      </w:r>
      <w:r w:rsidRPr="00472A3E">
        <w:rPr>
          <w:color w:val="111111"/>
          <w:sz w:val="28"/>
          <w:szCs w:val="28"/>
          <w:shd w:val="clear" w:color="auto" w:fill="FFFFFF"/>
        </w:rPr>
        <w:t>, </w:t>
      </w:r>
      <w:r w:rsidRPr="00472A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«Чем мы болеем?»</w:t>
      </w:r>
      <w:r w:rsidRPr="00472A3E">
        <w:rPr>
          <w:color w:val="111111"/>
          <w:sz w:val="28"/>
          <w:szCs w:val="28"/>
          <w:shd w:val="clear" w:color="auto" w:fill="FFFFFF"/>
        </w:rPr>
        <w:t>, </w:t>
      </w:r>
      <w:r w:rsidRPr="00472A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«Медсестра»</w:t>
      </w:r>
      <w:r w:rsidRPr="00472A3E">
        <w:rPr>
          <w:color w:val="111111"/>
          <w:sz w:val="28"/>
          <w:szCs w:val="28"/>
          <w:shd w:val="clear" w:color="auto" w:fill="FFFFFF"/>
        </w:rPr>
        <w:t>, </w:t>
      </w:r>
      <w:r w:rsidRPr="00472A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«Грипп и простуда»</w:t>
      </w:r>
      <w:r w:rsidRPr="00472A3E">
        <w:rPr>
          <w:color w:val="111111"/>
          <w:sz w:val="28"/>
          <w:szCs w:val="28"/>
          <w:shd w:val="clear" w:color="auto" w:fill="FFFFFF"/>
        </w:rPr>
        <w:t>, </w:t>
      </w:r>
      <w:r w:rsidRPr="00472A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«Зачем нужна зеленка?» и др.</w:t>
      </w:r>
      <w:r w:rsidRPr="00472A3E">
        <w:rPr>
          <w:color w:val="000000"/>
          <w:sz w:val="28"/>
          <w:szCs w:val="28"/>
        </w:rPr>
        <w:t xml:space="preserve">), проблемные ситуации, </w:t>
      </w:r>
      <w:r w:rsidRPr="00472A3E">
        <w:rPr>
          <w:color w:val="111111"/>
          <w:sz w:val="28"/>
          <w:szCs w:val="28"/>
          <w:shd w:val="clear" w:color="auto" w:fill="FFFFFF"/>
        </w:rPr>
        <w:t>заучивание стихов и загадок о спорте, витаминах, докторе, медсестре, фармацевте</w:t>
      </w:r>
      <w:r w:rsidRPr="00472A3E">
        <w:rPr>
          <w:color w:val="000000"/>
          <w:sz w:val="28"/>
          <w:szCs w:val="28"/>
        </w:rPr>
        <w:t>);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семьями воспитанников (</w:t>
      </w:r>
      <w:r w:rsidRPr="00472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изготовление атрибутов, костюмов для сюжетно-ролевой игры «Больница», </w:t>
      </w:r>
      <w:r w:rsidRPr="00472A3E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фотовыставки</w:t>
      </w:r>
      <w:r w:rsidRPr="00472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«В гостях у Доктора Айболита»)</w:t>
      </w: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организацию </w:t>
      </w:r>
      <w:r w:rsidR="00150347"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с</w:t>
      </w: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учреждениями социума и др.</w:t>
      </w:r>
    </w:p>
    <w:p w:rsidR="00556DEE" w:rsidRPr="00472A3E" w:rsidRDefault="00556DEE" w:rsidP="00472A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Процесс ознакомления дошкольников с медицинскими профессиями имеет положительный эффект в работе педагогов, если используются различные развивающие методы и приемы (наглядные, словесные, практические, проблемно-поисковые, игровые).</w:t>
      </w: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Наиболее действенные способы ознакомления с трудом взрослых – наблюдения за трудовым процессом, экскурсии, беседы и встречи с представителями профессий, которые обеспечивают наибольшую отчетливость представлений, максимальную действенность приобретаемых детьми познаний. Однако </w:t>
      </w: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наглядное восприятие требует интерпретации: в процессе дальнейших бесед, посредством рассказов воспитателя уточняются, закрепляются, дополняются сведения, полученные во время наблюдений.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дошкольников с медицинскими профессиями в ходе специально организованных образовательных ситуаций, когда перед детьми ставится определённая проблема, которую необходимо решить, способствует расширению, закреплению и систематизации знаний детей, полученных в ходе непосредственного общения с представителями профессий из мира медицины. Во время таких ситуаций происходит интеграция различных образовательных областей, используются разнообразные методы и приемы.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интересным решением педагогических ситуаций на современном этапе может стать проект, квест-игра. В последнее время педагогами успешно в работе с детьми применяются проектные формы работы с детьми, что положительно влияет на развитие познавательной, творческой активности детей, способствует формированию и систематизации знаний о труде людей медицинских профессий. Эти инновационная форма работа охватывает не только связку педагог-дети, но и вовлекает родителей, социальные институты. Квест-игра – это так же «ноу-хау», которое можно использовать в педагогической работе как поисково-исследовательский метод. 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из главных мест в обучении детей однозначно принадлежит игре. Помимо сюжетно-ролевых игр очень успешно применимы творческие игры, как, например, «Где у нас болит не скажем, а вот что болит покажем», когда ребёнок должен, не объясняя словами, показать «больное» место на теле, а дети должны отгадать по действиям товарища, что у него «болит». </w:t>
      </w:r>
      <w:r w:rsidRPr="00472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Пантомимы тренируют воображение, память, фантазию, помогают детям стать более раскрепощёнными, в том числе и закрепляют знания о медицинских профессиях.</w:t>
      </w: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закрепления специальностей врача можно использовать игру «Волшебный кубик», на сторонах которого можно наклеить различные картинки: ухо, шприц, сердце, глаз, маленький ребёнок, рука/нога в гипсе и др. У ребёнка при виде определённой картинки возникает ассоциация, с какой </w:t>
      </w: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специальностью врача она может быть связана: сердце–кардиолог, гипс-хирург/травматолог, маленький ребёнок-педиатр, шприц-медсестра. Игры-эксперименты помогают старшим дошкольникам изучить строение человеческого тела, а макеты наглядно покажут, как и чем дышит человек, рассмотрев лёгкие, как движется по кишечно-пищевому тракту только что съеденная конфета. </w:t>
      </w:r>
      <w:r w:rsidRPr="00472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Знания, полученные во время проведения таких экспериментов, запоминаются надолго, они дают ребенку возможность самому найти ответы на вопросы «как?» и «почему?». Важно, чтобы ребенок, проводя собственные опыты, всё </w:t>
      </w:r>
      <w:r w:rsidR="00150347" w:rsidRPr="00472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делал сам</w:t>
      </w:r>
      <w:r w:rsidRPr="00472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не только был в роли наблюдателя. </w:t>
      </w: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любят познавать окружающий мир и </w:t>
      </w:r>
      <w:r w:rsidRPr="00472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взрослых – помочь детям сохранить эту исследовательскую активность как основу для таких важных процессов как самообучение, самовоспитание и саморазвитие.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чего стоит вопрос ранней профориентации уже в детском саду? Каждый ребёнок мечтает сегодня быть космонавтом, завтра банкиром, послезавтра супергероем. </w:t>
      </w:r>
      <w:r w:rsidRPr="00472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Дошкольный возраст считается как подготовительный период, в котором закладываются основы для профессионального самоопределения в будущем. Именно в дошкольном возрасте формируется Личность ребёнка, его профессиональные задатки. Именно в дошкольном возрасте необходимо сформировать у подрастающего поколения любовь и уважительное отношение к труду, а для этого важно научить каждого малыша понимать ценность труда, важность каждой профессии, знакомить с тем, какую роль играет труд в жизни людей, что ими движет для достижения цели результата труда. Необходимо познакомить дошколят со всей палитрой разнообразных профессий, чтобы он в дальнейшем мог на основе полученных знаний анализировать профессиональную сферу более осмысленно и чувствовать себя более уверенно. И если вернуться к </w:t>
      </w:r>
      <w:bookmarkStart w:id="0" w:name="_GoBack"/>
      <w:bookmarkEnd w:id="0"/>
      <w:r w:rsidR="00150347" w:rsidRPr="00472A3E">
        <w:rPr>
          <w:rFonts w:ascii="Times New Roman" w:hAnsi="Times New Roman" w:cs="Times New Roman"/>
          <w:sz w:val="28"/>
          <w:szCs w:val="28"/>
        </w:rPr>
        <w:t>ознакомлению дошкольников</w:t>
      </w:r>
      <w:r w:rsidRPr="00472A3E">
        <w:rPr>
          <w:rFonts w:ascii="Times New Roman" w:hAnsi="Times New Roman" w:cs="Times New Roman"/>
          <w:sz w:val="28"/>
          <w:szCs w:val="28"/>
        </w:rPr>
        <w:t xml:space="preserve"> с профессиями медицинского профиля, то</w:t>
      </w:r>
      <w:r w:rsidRPr="00472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важность для развития в ребенке гуманности, человеколюбия - неоспоримы.</w:t>
      </w:r>
    </w:p>
    <w:p w:rsidR="00556DEE" w:rsidRPr="00472A3E" w:rsidRDefault="00556DEE" w:rsidP="00472A3E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2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ЛИТЕРАТУРА</w:t>
      </w:r>
    </w:p>
    <w:p w:rsidR="00556DEE" w:rsidRPr="00472A3E" w:rsidRDefault="00556DEE" w:rsidP="00472A3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72A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1. Федеральный закон от 29.12.2012 N 273-ФЗ (ред. от 17.02.2023) Об образовании в Российской Федерации (с изм. и доп., вступ. в силу с 28.02.2023)</w:t>
      </w:r>
    </w:p>
    <w:p w:rsidR="00556DEE" w:rsidRPr="00472A3E" w:rsidRDefault="00556DEE" w:rsidP="00472A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A3E">
        <w:rPr>
          <w:rFonts w:ascii="Times New Roman" w:hAnsi="Times New Roman" w:cs="Times New Roman"/>
          <w:sz w:val="28"/>
          <w:szCs w:val="28"/>
        </w:rPr>
        <w:t xml:space="preserve">2.  </w:t>
      </w:r>
      <w:hyperlink r:id="rId8" w:history="1">
        <w:r w:rsidRPr="00472A3E">
          <w:rPr>
            <w:rStyle w:val="a5"/>
            <w:rFonts w:ascii="Times New Roman" w:hAnsi="Times New Roman" w:cs="Times New Roman"/>
            <w:sz w:val="28"/>
            <w:szCs w:val="28"/>
          </w:rPr>
          <w:t>https://www.vikids.ru/articles/10-knig-o-professiyah-chto-pochitat-doshkolniku-v-ramkah-detskoy-proforientatsii</w:t>
        </w:r>
      </w:hyperlink>
    </w:p>
    <w:p w:rsidR="00556DEE" w:rsidRPr="00472A3E" w:rsidRDefault="00556DEE" w:rsidP="00472A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A3E">
        <w:rPr>
          <w:rFonts w:ascii="Times New Roman" w:hAnsi="Times New Roman" w:cs="Times New Roman"/>
          <w:sz w:val="28"/>
          <w:szCs w:val="28"/>
        </w:rPr>
        <w:t xml:space="preserve">3.  </w:t>
      </w:r>
      <w:hyperlink r:id="rId9" w:history="1">
        <w:r w:rsidRPr="00472A3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https://infourok.ru/konsultaciya-dlya-vospitateley-oznakomlenie-detey-doshkolnogo-vozrasta-s-professiyami-i-trudom-vzroslih-2237373.html</w:t>
        </w:r>
      </w:hyperlink>
    </w:p>
    <w:p w:rsidR="00556DEE" w:rsidRPr="00472A3E" w:rsidRDefault="00556DEE" w:rsidP="00472A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A3E">
        <w:rPr>
          <w:rFonts w:ascii="Times New Roman" w:hAnsi="Times New Roman" w:cs="Times New Roman"/>
          <w:sz w:val="28"/>
          <w:szCs w:val="28"/>
        </w:rPr>
        <w:t>4.</w:t>
      </w:r>
      <w:hyperlink r:id="rId10" w:history="1">
        <w:r w:rsidRPr="00472A3E">
          <w:rPr>
            <w:rStyle w:val="a5"/>
            <w:rFonts w:ascii="Times New Roman" w:hAnsi="Times New Roman" w:cs="Times New Roman"/>
            <w:sz w:val="28"/>
            <w:szCs w:val="28"/>
          </w:rPr>
          <w:t>https://nsportal.ru/sites/default/files/2023/01/26/master-klass_meditsinskie_professii.docx</w:t>
        </w:r>
      </w:hyperlink>
    </w:p>
    <w:p w:rsidR="00556DEE" w:rsidRPr="00472A3E" w:rsidRDefault="00556DEE" w:rsidP="00472A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A3E">
        <w:rPr>
          <w:rFonts w:ascii="Times New Roman" w:hAnsi="Times New Roman" w:cs="Times New Roman"/>
          <w:sz w:val="28"/>
          <w:szCs w:val="28"/>
        </w:rPr>
        <w:t>5.  https://obrazovanie-gid.ru/uchitelyam/algoritm-znakomstva-s-professiej-v-detskom-sadu.html</w:t>
      </w:r>
    </w:p>
    <w:p w:rsidR="005C7F57" w:rsidRPr="005B16E5" w:rsidRDefault="005C7F57" w:rsidP="00556DEE">
      <w:pPr>
        <w:spacing w:line="240" w:lineRule="auto"/>
        <w:rPr>
          <w:sz w:val="28"/>
          <w:szCs w:val="28"/>
        </w:rPr>
      </w:pPr>
    </w:p>
    <w:sectPr w:rsidR="005C7F57" w:rsidRPr="005B16E5" w:rsidSect="005B16E5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B3FC0"/>
    <w:multiLevelType w:val="multilevel"/>
    <w:tmpl w:val="E002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20"/>
    <w:rsid w:val="000C5D20"/>
    <w:rsid w:val="00150347"/>
    <w:rsid w:val="00472A3E"/>
    <w:rsid w:val="004F5A40"/>
    <w:rsid w:val="00556DEE"/>
    <w:rsid w:val="005B16E5"/>
    <w:rsid w:val="005C7F57"/>
    <w:rsid w:val="0062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FB7DB-01AC-468C-A60E-61E6C4E68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6DEE"/>
    <w:rPr>
      <w:b/>
      <w:bCs/>
    </w:rPr>
  </w:style>
  <w:style w:type="character" w:styleId="a5">
    <w:name w:val="Hyperlink"/>
    <w:basedOn w:val="a0"/>
    <w:uiPriority w:val="99"/>
    <w:unhideWhenUsed/>
    <w:rsid w:val="00556DEE"/>
    <w:rPr>
      <w:color w:val="0000FF" w:themeColor="hyperlink"/>
      <w:u w:val="single"/>
    </w:rPr>
  </w:style>
  <w:style w:type="paragraph" w:customStyle="1" w:styleId="c6">
    <w:name w:val="c6"/>
    <w:basedOn w:val="a"/>
    <w:rsid w:val="0055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kids.ru/articles/10-knig-o-professiyah-chto-pochitat-doshkolniku-v-ramkah-detskoy-proforientatsi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ikids.ru/categories/5ab100666c1d40214e392eb7/books/5de839ac6c1d4004915c278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kids.ru/categories/5ab100666c1d40214e392eb7/books/5de837e56c1d4004915c26f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vikids.ru/categories/5ab100666c1d40214e392eb7/books/5de7afcd6c1d400491f209f4" TargetMode="External"/><Relationship Id="rId10" Type="http://schemas.openxmlformats.org/officeDocument/2006/relationships/hyperlink" Target="https://nsportal.ru/sites/default/files/2023/01/26/master-klass_meditsinskie_professii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konsultaciya-dlya-vospitateley-oznakomlenie-detey-doshkolnogo-vozrasta-s-professiyami-i-trudom-vzroslih-223737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2024-01-12T16:22:00Z</dcterms:created>
  <dcterms:modified xsi:type="dcterms:W3CDTF">2024-01-14T12:18:00Z</dcterms:modified>
</cp:coreProperties>
</file>